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70AE" w14:textId="3A186BBA" w:rsidR="004A7697" w:rsidRDefault="004A7697" w:rsidP="006C5C15">
      <w:pPr>
        <w:spacing w:after="240"/>
        <w:rPr>
          <w:rFonts w:ascii="Avenir Next LT Pro" w:hAnsi="Avenir Next LT Pro"/>
          <w:b/>
          <w:bCs/>
          <w:sz w:val="32"/>
          <w:szCs w:val="32"/>
          <w:lang w:val="en-GB"/>
        </w:rPr>
      </w:pPr>
      <w:r>
        <w:rPr>
          <w:rFonts w:ascii="Avenir Next LT Pro" w:hAnsi="Avenir Next LT Pro"/>
          <w:b/>
          <w:bCs/>
          <w:sz w:val="32"/>
          <w:szCs w:val="32"/>
          <w:lang w:val="en-GB"/>
        </w:rPr>
        <w:t xml:space="preserve">The first F2F Health Matters call </w:t>
      </w:r>
      <w:r w:rsidR="007B35C7">
        <w:rPr>
          <w:rFonts w:ascii="Avenir Next LT Pro" w:hAnsi="Avenir Next LT Pro"/>
          <w:b/>
          <w:bCs/>
          <w:sz w:val="32"/>
          <w:szCs w:val="32"/>
          <w:lang w:val="en-GB"/>
        </w:rPr>
        <w:t>for SMEs is now open!</w:t>
      </w:r>
    </w:p>
    <w:p w14:paraId="6C149FD5" w14:textId="57389FB0" w:rsidR="00C8158A" w:rsidRDefault="004A7697" w:rsidP="007F49CB">
      <w:pPr>
        <w:jc w:val="both"/>
        <w:rPr>
          <w:rFonts w:ascii="Avenir Next LT Pro" w:hAnsi="Avenir Next LT Pro"/>
          <w:lang w:val="en-GB"/>
        </w:rPr>
      </w:pPr>
      <w:r>
        <w:rPr>
          <w:rFonts w:ascii="Avenir Next LT Pro" w:hAnsi="Avenir Next LT Pro"/>
          <w:u w:val="single"/>
          <w:lang w:val="en-GB"/>
        </w:rPr>
        <w:t>Nitra, February 16</w:t>
      </w:r>
      <w:r w:rsidRPr="004A7697">
        <w:rPr>
          <w:rFonts w:ascii="Avenir Next LT Pro" w:hAnsi="Avenir Next LT Pro"/>
          <w:u w:val="single"/>
          <w:vertAlign w:val="superscript"/>
          <w:lang w:val="en-GB"/>
        </w:rPr>
        <w:t>th</w:t>
      </w:r>
      <w:r>
        <w:rPr>
          <w:rFonts w:ascii="Avenir Next LT Pro" w:hAnsi="Avenir Next LT Pro"/>
          <w:u w:val="single"/>
          <w:lang w:val="en-GB"/>
        </w:rPr>
        <w:t>, 2022.</w:t>
      </w:r>
      <w:r w:rsidRPr="004A7697">
        <w:rPr>
          <w:rFonts w:ascii="Avenir Next LT Pro" w:hAnsi="Avenir Next LT Pro"/>
          <w:lang w:val="en-GB"/>
        </w:rPr>
        <w:t xml:space="preserve"> </w:t>
      </w:r>
      <w:r w:rsidR="007B35C7">
        <w:rPr>
          <w:rFonts w:ascii="Avenir Next LT Pro" w:hAnsi="Avenir Next LT Pro"/>
          <w:lang w:val="en-GB"/>
        </w:rPr>
        <w:t xml:space="preserve">The project </w:t>
      </w:r>
      <w:hyperlink r:id="rId8" w:history="1">
        <w:r w:rsidR="007B35C7" w:rsidRPr="00692B80">
          <w:rPr>
            <w:rStyle w:val="Hypertextovprepojenie"/>
            <w:rFonts w:ascii="Avenir Next LT Pro" w:hAnsi="Avenir Next LT Pro"/>
            <w:lang w:val="en-GB"/>
          </w:rPr>
          <w:t>F2F Health Matters</w:t>
        </w:r>
      </w:hyperlink>
      <w:r w:rsidR="007B35C7">
        <w:rPr>
          <w:rFonts w:ascii="Avenir Next LT Pro" w:hAnsi="Avenir Next LT Pro"/>
          <w:lang w:val="en-GB"/>
        </w:rPr>
        <w:t xml:space="preserve"> launched its first call </w:t>
      </w:r>
      <w:r w:rsidR="00C8158A">
        <w:rPr>
          <w:rFonts w:ascii="Avenir Next LT Pro" w:hAnsi="Avenir Next LT Pro"/>
          <w:lang w:val="en-GB"/>
        </w:rPr>
        <w:t xml:space="preserve">to support the </w:t>
      </w:r>
      <w:r w:rsidR="00C8158A" w:rsidRPr="00C8158A">
        <w:rPr>
          <w:rFonts w:ascii="Avenir Next LT Pro" w:hAnsi="Avenir Next LT Pro"/>
          <w:b/>
          <w:bCs/>
          <w:lang w:val="en-GB"/>
        </w:rPr>
        <w:t xml:space="preserve">internationalisation </w:t>
      </w:r>
      <w:r w:rsidR="00C8158A">
        <w:rPr>
          <w:rFonts w:ascii="Avenir Next LT Pro" w:hAnsi="Avenir Next LT Pro"/>
          <w:b/>
          <w:bCs/>
          <w:lang w:val="en-GB"/>
        </w:rPr>
        <w:t xml:space="preserve">actions </w:t>
      </w:r>
      <w:r w:rsidR="00C8158A" w:rsidRPr="00C8158A">
        <w:rPr>
          <w:rFonts w:ascii="Avenir Next LT Pro" w:hAnsi="Avenir Next LT Pro"/>
          <w:b/>
          <w:bCs/>
          <w:lang w:val="en-GB"/>
        </w:rPr>
        <w:t>of SMEs to</w:t>
      </w:r>
      <w:r w:rsidR="00C8158A">
        <w:rPr>
          <w:rFonts w:ascii="Avenir Next LT Pro" w:hAnsi="Avenir Next LT Pro"/>
          <w:lang w:val="en-GB"/>
        </w:rPr>
        <w:t xml:space="preserve"> </w:t>
      </w:r>
      <w:r w:rsidR="00C8158A" w:rsidRPr="00C8158A">
        <w:rPr>
          <w:rFonts w:ascii="Avenir Next LT Pro" w:hAnsi="Avenir Next LT Pro"/>
          <w:b/>
          <w:bCs/>
          <w:lang w:val="en-GB"/>
        </w:rPr>
        <w:t>Canada</w:t>
      </w:r>
      <w:r w:rsidR="00C8158A">
        <w:rPr>
          <w:rFonts w:ascii="Avenir Next LT Pro" w:hAnsi="Avenir Next LT Pro"/>
          <w:lang w:val="en-GB"/>
        </w:rPr>
        <w:t xml:space="preserve"> – the first </w:t>
      </w:r>
      <w:r w:rsidR="00763A3B">
        <w:rPr>
          <w:rFonts w:ascii="Avenir Next LT Pro" w:hAnsi="Avenir Next LT Pro"/>
          <w:lang w:val="en-GB"/>
        </w:rPr>
        <w:t xml:space="preserve">target </w:t>
      </w:r>
      <w:r w:rsidR="00C8158A">
        <w:rPr>
          <w:rFonts w:ascii="Avenir Next LT Pro" w:hAnsi="Avenir Next LT Pro"/>
          <w:lang w:val="en-GB"/>
        </w:rPr>
        <w:t>country selected by the project consortium</w:t>
      </w:r>
      <w:r w:rsidR="007B35C7">
        <w:rPr>
          <w:rFonts w:ascii="Avenir Next LT Pro" w:hAnsi="Avenir Next LT Pro"/>
          <w:lang w:val="en-GB"/>
        </w:rPr>
        <w:t xml:space="preserve">. </w:t>
      </w:r>
      <w:r w:rsidR="00A216A4">
        <w:rPr>
          <w:rFonts w:ascii="Avenir Next LT Pro" w:hAnsi="Avenir Next LT Pro"/>
          <w:lang w:val="en-GB"/>
        </w:rPr>
        <w:t xml:space="preserve">It gives the European SMEs </w:t>
      </w:r>
      <w:r w:rsidR="00237584">
        <w:rPr>
          <w:rFonts w:ascii="Avenir Next LT Pro" w:hAnsi="Avenir Next LT Pro"/>
          <w:lang w:val="en-GB"/>
        </w:rPr>
        <w:t>in healthy food and bio-based value chain</w:t>
      </w:r>
      <w:r w:rsidR="004B25C5">
        <w:rPr>
          <w:rFonts w:ascii="Avenir Next LT Pro" w:hAnsi="Avenir Next LT Pro"/>
          <w:lang w:val="en-GB"/>
        </w:rPr>
        <w:t>s</w:t>
      </w:r>
      <w:r w:rsidR="00237584">
        <w:rPr>
          <w:rFonts w:ascii="Avenir Next LT Pro" w:hAnsi="Avenir Next LT Pro"/>
          <w:lang w:val="en-GB"/>
        </w:rPr>
        <w:t xml:space="preserve"> </w:t>
      </w:r>
      <w:r w:rsidR="008B1207">
        <w:rPr>
          <w:rFonts w:ascii="Avenir Next LT Pro" w:hAnsi="Avenir Next LT Pro"/>
          <w:lang w:val="en-GB"/>
        </w:rPr>
        <w:t>a</w:t>
      </w:r>
      <w:r w:rsidR="00A216A4">
        <w:rPr>
          <w:rFonts w:ascii="Avenir Next LT Pro" w:hAnsi="Avenir Next LT Pro"/>
          <w:lang w:val="en-GB"/>
        </w:rPr>
        <w:t xml:space="preserve"> </w:t>
      </w:r>
      <w:r w:rsidR="008B1207">
        <w:rPr>
          <w:rFonts w:ascii="Avenir Next LT Pro" w:hAnsi="Avenir Next LT Pro"/>
          <w:lang w:val="en-GB"/>
        </w:rPr>
        <w:t xml:space="preserve">unique </w:t>
      </w:r>
      <w:r w:rsidR="00A216A4">
        <w:rPr>
          <w:rFonts w:ascii="Avenir Next LT Pro" w:hAnsi="Avenir Next LT Pro"/>
          <w:lang w:val="en-GB"/>
        </w:rPr>
        <w:t xml:space="preserve">opportunity to expand their business to </w:t>
      </w:r>
      <w:r w:rsidR="00814592">
        <w:rPr>
          <w:rFonts w:ascii="Avenir Next LT Pro" w:hAnsi="Avenir Next LT Pro"/>
          <w:lang w:val="en-GB"/>
        </w:rPr>
        <w:t xml:space="preserve">this </w:t>
      </w:r>
      <w:r w:rsidR="00A216A4">
        <w:rPr>
          <w:rFonts w:ascii="Avenir Next LT Pro" w:hAnsi="Avenir Next LT Pro"/>
          <w:lang w:val="en-GB"/>
        </w:rPr>
        <w:t>oversea market</w:t>
      </w:r>
      <w:r w:rsidR="00237584">
        <w:rPr>
          <w:rFonts w:ascii="Avenir Next LT Pro" w:hAnsi="Avenir Next LT Pro"/>
          <w:lang w:val="en-GB"/>
        </w:rPr>
        <w:t xml:space="preserve"> and to s</w:t>
      </w:r>
      <w:r w:rsidR="004B25C5">
        <w:rPr>
          <w:rFonts w:ascii="Avenir Next LT Pro" w:hAnsi="Avenir Next LT Pro"/>
          <w:lang w:val="en-GB"/>
        </w:rPr>
        <w:t>tart new</w:t>
      </w:r>
      <w:r w:rsidR="00D31A3C">
        <w:rPr>
          <w:rFonts w:ascii="Avenir Next LT Pro" w:hAnsi="Avenir Next LT Pro"/>
          <w:lang w:val="en-GB"/>
        </w:rPr>
        <w:t xml:space="preserve"> internationalisation journey</w:t>
      </w:r>
      <w:r w:rsidR="004B25C5">
        <w:rPr>
          <w:rFonts w:ascii="Avenir Next LT Pro" w:hAnsi="Avenir Next LT Pro"/>
          <w:lang w:val="en-GB"/>
        </w:rPr>
        <w:t xml:space="preserve">. </w:t>
      </w:r>
    </w:p>
    <w:p w14:paraId="73D8BEEE" w14:textId="60A5AAC9" w:rsidR="00A216A4" w:rsidRPr="00A216A4" w:rsidRDefault="00A216A4" w:rsidP="007F49CB">
      <w:pPr>
        <w:jc w:val="both"/>
        <w:rPr>
          <w:rFonts w:ascii="Avenir Next LT Pro" w:hAnsi="Avenir Next LT Pro"/>
          <w:b/>
          <w:bCs/>
          <w:lang w:val="en-GB"/>
        </w:rPr>
      </w:pPr>
      <w:r w:rsidRPr="00A216A4">
        <w:rPr>
          <w:rFonts w:ascii="Avenir Next LT Pro" w:hAnsi="Avenir Next LT Pro"/>
          <w:b/>
          <w:bCs/>
          <w:lang w:val="en-GB"/>
        </w:rPr>
        <w:t>Three types of internationalisation support</w:t>
      </w:r>
    </w:p>
    <w:p w14:paraId="1DAC452B" w14:textId="7C5A5055" w:rsidR="003F43F9" w:rsidRDefault="007B35C7" w:rsidP="007F49CB">
      <w:pPr>
        <w:jc w:val="both"/>
        <w:rPr>
          <w:rFonts w:ascii="Avenir Next LT Pro" w:hAnsi="Avenir Next LT Pro"/>
          <w:lang w:val="en-GB"/>
        </w:rPr>
      </w:pPr>
      <w:r>
        <w:rPr>
          <w:rFonts w:ascii="Avenir Next LT Pro" w:hAnsi="Avenir Next LT Pro"/>
          <w:lang w:val="en-GB"/>
        </w:rPr>
        <w:t xml:space="preserve">SMEs can apply to benefit from three types of internationalisation support. </w:t>
      </w:r>
      <w:r w:rsidRPr="00C8158A">
        <w:rPr>
          <w:rFonts w:ascii="Avenir Next LT Pro" w:hAnsi="Avenir Next LT Pro"/>
          <w:b/>
          <w:bCs/>
          <w:lang w:val="en-GB"/>
        </w:rPr>
        <w:t>Commercial Lead Support</w:t>
      </w:r>
      <w:r w:rsidR="00C8158A">
        <w:rPr>
          <w:rFonts w:ascii="Avenir Next LT Pro" w:hAnsi="Avenir Next LT Pro"/>
          <w:lang w:val="en-GB"/>
        </w:rPr>
        <w:t xml:space="preserve"> covers the consultancy services of commercial prospection on Canadian market</w:t>
      </w:r>
      <w:r w:rsidR="00D77E32">
        <w:rPr>
          <w:rFonts w:ascii="Avenir Next LT Pro" w:hAnsi="Avenir Next LT Pro"/>
          <w:lang w:val="en-GB"/>
        </w:rPr>
        <w:t>.</w:t>
      </w:r>
      <w:r w:rsidR="00C8158A">
        <w:rPr>
          <w:rFonts w:ascii="Avenir Next LT Pro" w:hAnsi="Avenir Next LT Pro"/>
          <w:lang w:val="en-GB"/>
        </w:rPr>
        <w:t xml:space="preserve"> SMEs </w:t>
      </w:r>
      <w:r w:rsidR="00C8158A" w:rsidRPr="00D77E32">
        <w:rPr>
          <w:rFonts w:ascii="Avenir Next LT Pro" w:hAnsi="Avenir Next LT Pro"/>
          <w:lang w:val="en-GB"/>
        </w:rPr>
        <w:t>can get</w:t>
      </w:r>
      <w:r w:rsidR="00D77E32">
        <w:rPr>
          <w:rFonts w:ascii="Avenir Next LT Pro" w:hAnsi="Avenir Next LT Pro"/>
          <w:lang w:val="en-GB"/>
        </w:rPr>
        <w:t xml:space="preserve"> personalised support from external service providers with excellent market knowledge, which will be financed by the consortium partners</w:t>
      </w:r>
      <w:r>
        <w:rPr>
          <w:rFonts w:ascii="Avenir Next LT Pro" w:hAnsi="Avenir Next LT Pro"/>
          <w:lang w:val="en-GB"/>
        </w:rPr>
        <w:t xml:space="preserve">. </w:t>
      </w:r>
    </w:p>
    <w:p w14:paraId="4100945F" w14:textId="356EC038" w:rsidR="003F43F9" w:rsidRDefault="00C8158A" w:rsidP="007F49CB">
      <w:pPr>
        <w:jc w:val="both"/>
        <w:rPr>
          <w:rFonts w:ascii="Avenir Next LT Pro" w:hAnsi="Avenir Next LT Pro"/>
          <w:lang w:val="en-GB"/>
        </w:rPr>
      </w:pPr>
      <w:r>
        <w:rPr>
          <w:rFonts w:ascii="Avenir Next LT Pro" w:hAnsi="Avenir Next LT Pro"/>
          <w:lang w:val="en-GB"/>
        </w:rPr>
        <w:t xml:space="preserve">The second type of </w:t>
      </w:r>
      <w:r w:rsidR="00692B80">
        <w:rPr>
          <w:rFonts w:ascii="Avenir Next LT Pro" w:hAnsi="Avenir Next LT Pro"/>
          <w:lang w:val="en-GB"/>
        </w:rPr>
        <w:t>support</w:t>
      </w:r>
      <w:r>
        <w:rPr>
          <w:rFonts w:ascii="Avenir Next LT Pro" w:hAnsi="Avenir Next LT Pro"/>
          <w:lang w:val="en-GB"/>
        </w:rPr>
        <w:t xml:space="preserve"> SMEs can apply for includes </w:t>
      </w:r>
      <w:r w:rsidR="007B35C7" w:rsidRPr="00A216A4">
        <w:rPr>
          <w:rFonts w:ascii="Avenir Next LT Pro" w:hAnsi="Avenir Next LT Pro"/>
          <w:b/>
          <w:bCs/>
          <w:lang w:val="en-GB"/>
        </w:rPr>
        <w:t>Travel Aid</w:t>
      </w:r>
      <w:r>
        <w:rPr>
          <w:rFonts w:ascii="Avenir Next LT Pro" w:hAnsi="Avenir Next LT Pro"/>
          <w:lang w:val="en-GB"/>
        </w:rPr>
        <w:t xml:space="preserve"> to support their participation in </w:t>
      </w:r>
      <w:r w:rsidR="00506213">
        <w:rPr>
          <w:rFonts w:ascii="Avenir Next LT Pro" w:hAnsi="Avenir Next LT Pro"/>
          <w:lang w:val="en-GB"/>
        </w:rPr>
        <w:t>a</w:t>
      </w:r>
      <w:r>
        <w:rPr>
          <w:rFonts w:ascii="Avenir Next LT Pro" w:hAnsi="Avenir Next LT Pro"/>
          <w:lang w:val="en-GB"/>
        </w:rPr>
        <w:t xml:space="preserve"> collective internationalisation mission </w:t>
      </w:r>
      <w:r w:rsidR="00A216A4">
        <w:rPr>
          <w:rFonts w:ascii="Avenir Next LT Pro" w:hAnsi="Avenir Next LT Pro"/>
          <w:lang w:val="en-GB"/>
        </w:rPr>
        <w:t>to Canada</w:t>
      </w:r>
      <w:r w:rsidR="00506213">
        <w:rPr>
          <w:rFonts w:ascii="Avenir Next LT Pro" w:hAnsi="Avenir Next LT Pro"/>
          <w:lang w:val="en-GB"/>
        </w:rPr>
        <w:t xml:space="preserve"> organised within this project</w:t>
      </w:r>
      <w:r w:rsidR="007B35C7">
        <w:rPr>
          <w:rFonts w:ascii="Avenir Next LT Pro" w:hAnsi="Avenir Next LT Pro"/>
          <w:lang w:val="en-GB"/>
        </w:rPr>
        <w:t>.</w:t>
      </w:r>
      <w:r w:rsidR="00A216A4">
        <w:rPr>
          <w:rFonts w:ascii="Avenir Next LT Pro" w:hAnsi="Avenir Next LT Pro"/>
          <w:lang w:val="en-GB"/>
        </w:rPr>
        <w:t xml:space="preserve"> SMEs can reimburse their travel costs up to </w:t>
      </w:r>
      <w:r w:rsidR="00A216A4" w:rsidRPr="00D77E32">
        <w:rPr>
          <w:rFonts w:ascii="Avenir Next LT Pro" w:hAnsi="Avenir Next LT Pro"/>
          <w:lang w:val="en-GB"/>
        </w:rPr>
        <w:t>EUR 2</w:t>
      </w:r>
      <w:r w:rsidR="001734DE">
        <w:rPr>
          <w:rFonts w:ascii="Avenir Next LT Pro" w:hAnsi="Avenir Next LT Pro"/>
          <w:lang w:val="en-GB"/>
        </w:rPr>
        <w:t> </w:t>
      </w:r>
      <w:r w:rsidR="00A216A4" w:rsidRPr="00D77E32">
        <w:rPr>
          <w:rFonts w:ascii="Avenir Next LT Pro" w:hAnsi="Avenir Next LT Pro"/>
          <w:lang w:val="en-GB"/>
        </w:rPr>
        <w:t>000</w:t>
      </w:r>
      <w:r w:rsidR="001734DE">
        <w:rPr>
          <w:rFonts w:ascii="Avenir Next LT Pro" w:hAnsi="Avenir Next LT Pro"/>
          <w:lang w:val="en-GB"/>
        </w:rPr>
        <w:t xml:space="preserve"> and meet potential business partners, leading to new business agreements</w:t>
      </w:r>
      <w:r w:rsidR="00D31A3C">
        <w:rPr>
          <w:rFonts w:ascii="Avenir Next LT Pro" w:hAnsi="Avenir Next LT Pro"/>
          <w:lang w:val="en-GB"/>
        </w:rPr>
        <w:t xml:space="preserve"> and promising collaborations</w:t>
      </w:r>
      <w:r w:rsidR="001734DE">
        <w:rPr>
          <w:rFonts w:ascii="Avenir Next LT Pro" w:hAnsi="Avenir Next LT Pro"/>
          <w:lang w:val="en-GB"/>
        </w:rPr>
        <w:t xml:space="preserve">.  </w:t>
      </w:r>
    </w:p>
    <w:p w14:paraId="04B97118" w14:textId="4977CBE3" w:rsidR="004A7697" w:rsidRDefault="00237584" w:rsidP="007F49CB">
      <w:pPr>
        <w:jc w:val="both"/>
        <w:rPr>
          <w:rFonts w:ascii="Avenir Next LT Pro" w:hAnsi="Avenir Next LT Pro"/>
          <w:lang w:val="en-GB"/>
        </w:rPr>
      </w:pPr>
      <w:r>
        <w:rPr>
          <w:rFonts w:ascii="Avenir Next LT Pro" w:hAnsi="Avenir Next LT Pro"/>
          <w:lang w:val="en-GB"/>
        </w:rPr>
        <w:t>Complementary to the financial type</w:t>
      </w:r>
      <w:r w:rsidR="00B81395">
        <w:rPr>
          <w:rFonts w:ascii="Avenir Next LT Pro" w:hAnsi="Avenir Next LT Pro"/>
          <w:lang w:val="en-GB"/>
        </w:rPr>
        <w:t>s</w:t>
      </w:r>
      <w:r>
        <w:rPr>
          <w:rFonts w:ascii="Avenir Next LT Pro" w:hAnsi="Avenir Next LT Pro"/>
          <w:lang w:val="en-GB"/>
        </w:rPr>
        <w:t xml:space="preserve"> of support, SMEs can </w:t>
      </w:r>
      <w:r w:rsidR="00B81395">
        <w:rPr>
          <w:rFonts w:ascii="Avenir Next LT Pro" w:hAnsi="Avenir Next LT Pro"/>
          <w:lang w:val="en-GB"/>
        </w:rPr>
        <w:t>become part of</w:t>
      </w:r>
      <w:r>
        <w:rPr>
          <w:rFonts w:ascii="Avenir Next LT Pro" w:hAnsi="Avenir Next LT Pro"/>
          <w:lang w:val="en-GB"/>
        </w:rPr>
        <w:t xml:space="preserve"> the </w:t>
      </w:r>
      <w:r w:rsidR="007B35C7" w:rsidRPr="00237584">
        <w:rPr>
          <w:rFonts w:ascii="Avenir Next LT Pro" w:hAnsi="Avenir Next LT Pro"/>
          <w:b/>
          <w:bCs/>
          <w:lang w:val="en-GB"/>
        </w:rPr>
        <w:t>Elite Programme</w:t>
      </w:r>
      <w:r>
        <w:rPr>
          <w:rFonts w:ascii="Avenir Next LT Pro" w:hAnsi="Avenir Next LT Pro"/>
          <w:lang w:val="en-GB"/>
        </w:rPr>
        <w:t>, which consists of tailor-made training and coaching on technical</w:t>
      </w:r>
      <w:r w:rsidR="00B81395">
        <w:rPr>
          <w:rFonts w:ascii="Avenir Next LT Pro" w:hAnsi="Avenir Next LT Pro"/>
          <w:lang w:val="en-GB"/>
        </w:rPr>
        <w:t>,</w:t>
      </w:r>
      <w:r>
        <w:rPr>
          <w:rFonts w:ascii="Avenir Next LT Pro" w:hAnsi="Avenir Next LT Pro"/>
          <w:lang w:val="en-GB"/>
        </w:rPr>
        <w:t xml:space="preserve"> innovation and market-oriented topics and </w:t>
      </w:r>
      <w:r w:rsidR="004E1668">
        <w:rPr>
          <w:rFonts w:ascii="Avenir Next LT Pro" w:hAnsi="Avenir Next LT Pro"/>
          <w:lang w:val="en-GB"/>
        </w:rPr>
        <w:t xml:space="preserve">provides </w:t>
      </w:r>
      <w:r>
        <w:rPr>
          <w:rFonts w:ascii="Avenir Next LT Pro" w:hAnsi="Avenir Next LT Pro"/>
          <w:lang w:val="en-GB"/>
        </w:rPr>
        <w:t xml:space="preserve">access to an online community </w:t>
      </w:r>
      <w:r w:rsidR="004E1668">
        <w:rPr>
          <w:rFonts w:ascii="Avenir Next LT Pro" w:hAnsi="Avenir Next LT Pro"/>
          <w:lang w:val="en-GB"/>
        </w:rPr>
        <w:t>to skill up on various internationalisation topics</w:t>
      </w:r>
      <w:r>
        <w:rPr>
          <w:rFonts w:ascii="Avenir Next LT Pro" w:hAnsi="Avenir Next LT Pro"/>
          <w:lang w:val="en-GB"/>
        </w:rPr>
        <w:t xml:space="preserve">. </w:t>
      </w:r>
    </w:p>
    <w:p w14:paraId="3F39A30F" w14:textId="70DC78FC" w:rsidR="00237584" w:rsidRPr="00237584" w:rsidRDefault="00237584" w:rsidP="007F49CB">
      <w:pPr>
        <w:jc w:val="both"/>
        <w:rPr>
          <w:rFonts w:ascii="Avenir Next LT Pro" w:hAnsi="Avenir Next LT Pro"/>
          <w:b/>
          <w:bCs/>
          <w:lang w:val="en-GB"/>
        </w:rPr>
      </w:pPr>
      <w:r w:rsidRPr="00237584">
        <w:rPr>
          <w:rFonts w:ascii="Avenir Next LT Pro" w:hAnsi="Avenir Next LT Pro"/>
          <w:b/>
          <w:bCs/>
          <w:lang w:val="en-GB"/>
        </w:rPr>
        <w:t>How to apply</w:t>
      </w:r>
    </w:p>
    <w:p w14:paraId="6C3EB5AA" w14:textId="2B6A498E" w:rsidR="00237584" w:rsidRDefault="004A7697" w:rsidP="007F49CB">
      <w:pPr>
        <w:jc w:val="both"/>
        <w:rPr>
          <w:rFonts w:ascii="Avenir Next LT Pro" w:hAnsi="Avenir Next LT Pro"/>
          <w:lang w:val="en-GB"/>
        </w:rPr>
      </w:pPr>
      <w:r>
        <w:rPr>
          <w:rFonts w:ascii="Avenir Next LT Pro" w:hAnsi="Avenir Next LT Pro"/>
          <w:lang w:val="en-GB"/>
        </w:rPr>
        <w:t xml:space="preserve">SMEs can apply by submitting the </w:t>
      </w:r>
      <w:hyperlink r:id="rId9" w:history="1">
        <w:r w:rsidRPr="00CA62C4">
          <w:rPr>
            <w:rStyle w:val="Hypertextovprepojenie"/>
            <w:rFonts w:ascii="Avenir Next LT Pro" w:hAnsi="Avenir Next LT Pro"/>
            <w:lang w:val="en-GB"/>
          </w:rPr>
          <w:t>online application form</w:t>
        </w:r>
      </w:hyperlink>
      <w:r>
        <w:rPr>
          <w:rFonts w:ascii="Avenir Next LT Pro" w:hAnsi="Avenir Next LT Pro"/>
          <w:lang w:val="en-GB"/>
        </w:rPr>
        <w:t xml:space="preserve"> by </w:t>
      </w:r>
      <w:r w:rsidRPr="00237584">
        <w:rPr>
          <w:rFonts w:ascii="Avenir Next LT Pro" w:hAnsi="Avenir Next LT Pro"/>
          <w:b/>
          <w:bCs/>
          <w:lang w:val="en-GB"/>
        </w:rPr>
        <w:t>April 14</w:t>
      </w:r>
      <w:r w:rsidRPr="00237584">
        <w:rPr>
          <w:rFonts w:ascii="Avenir Next LT Pro" w:hAnsi="Avenir Next LT Pro"/>
          <w:b/>
          <w:bCs/>
          <w:vertAlign w:val="superscript"/>
          <w:lang w:val="en-GB"/>
        </w:rPr>
        <w:t>th</w:t>
      </w:r>
      <w:r w:rsidRPr="00237584">
        <w:rPr>
          <w:rFonts w:ascii="Avenir Next LT Pro" w:hAnsi="Avenir Next LT Pro"/>
          <w:b/>
          <w:bCs/>
          <w:lang w:val="en-GB"/>
        </w:rPr>
        <w:t>, 2022</w:t>
      </w:r>
      <w:r>
        <w:rPr>
          <w:rFonts w:ascii="Avenir Next LT Pro" w:hAnsi="Avenir Next LT Pro"/>
          <w:lang w:val="en-GB"/>
        </w:rPr>
        <w:t xml:space="preserve">. </w:t>
      </w:r>
      <w:r w:rsidR="00237584">
        <w:rPr>
          <w:rFonts w:ascii="Avenir Next LT Pro" w:hAnsi="Avenir Next LT Pro"/>
          <w:lang w:val="en-GB"/>
        </w:rPr>
        <w:t xml:space="preserve">All applications will be carefully assessed and the selection will lead to the creation of the </w:t>
      </w:r>
      <w:r w:rsidR="00237584" w:rsidRPr="00506213">
        <w:rPr>
          <w:rFonts w:ascii="Avenir Next LT Pro" w:hAnsi="Avenir Next LT Pro"/>
          <w:lang w:val="en-GB"/>
        </w:rPr>
        <w:t xml:space="preserve">SMEs </w:t>
      </w:r>
      <w:r w:rsidR="00506213" w:rsidRPr="00506213">
        <w:rPr>
          <w:rFonts w:ascii="Avenir Next LT Pro" w:hAnsi="Avenir Next LT Pro"/>
          <w:lang w:val="en-GB"/>
        </w:rPr>
        <w:t>cohort</w:t>
      </w:r>
      <w:r w:rsidR="00237584">
        <w:rPr>
          <w:rFonts w:ascii="Avenir Next LT Pro" w:hAnsi="Avenir Next LT Pro"/>
          <w:lang w:val="en-GB"/>
        </w:rPr>
        <w:t>. The whole procedure will be finalised by the beginning of May 2022</w:t>
      </w:r>
      <w:r w:rsidR="00A12B3D">
        <w:rPr>
          <w:rFonts w:ascii="Avenir Next LT Pro" w:hAnsi="Avenir Next LT Pro"/>
          <w:lang w:val="en-GB"/>
        </w:rPr>
        <w:t xml:space="preserve">, </w:t>
      </w:r>
      <w:r w:rsidR="00E0644B">
        <w:rPr>
          <w:rFonts w:ascii="Avenir Next LT Pro" w:hAnsi="Avenir Next LT Pro"/>
          <w:lang w:val="en-GB"/>
        </w:rPr>
        <w:t>followed by specialised training sessions and personalised consultancy services to selected SMEs.</w:t>
      </w:r>
      <w:r w:rsidR="00A12B3D">
        <w:rPr>
          <w:rFonts w:ascii="Avenir Next LT Pro" w:hAnsi="Avenir Next LT Pro"/>
          <w:lang w:val="en-GB"/>
        </w:rPr>
        <w:t xml:space="preserve"> The internationalisation mission to Canada is planned for November 2022.</w:t>
      </w:r>
    </w:p>
    <w:p w14:paraId="712E1076" w14:textId="50FD6437" w:rsidR="004A7697" w:rsidRDefault="00CA62C4" w:rsidP="007F49CB">
      <w:pPr>
        <w:jc w:val="both"/>
        <w:rPr>
          <w:rFonts w:ascii="Avenir Next LT Pro" w:hAnsi="Avenir Next LT Pro"/>
          <w:lang w:val="en-GB"/>
        </w:rPr>
      </w:pPr>
      <w:r>
        <w:rPr>
          <w:rFonts w:ascii="Avenir Next LT Pro" w:hAnsi="Avenir Next LT Pro"/>
          <w:lang w:val="en-GB"/>
        </w:rPr>
        <w:t>All information about the call and application and selection process can be found on</w:t>
      </w:r>
      <w:r w:rsidR="00A216A4">
        <w:rPr>
          <w:rFonts w:ascii="Avenir Next LT Pro" w:hAnsi="Avenir Next LT Pro"/>
          <w:lang w:val="en-GB"/>
        </w:rPr>
        <w:t xml:space="preserve"> the</w:t>
      </w:r>
      <w:r>
        <w:rPr>
          <w:rFonts w:ascii="Avenir Next LT Pro" w:hAnsi="Avenir Next LT Pro"/>
          <w:lang w:val="en-GB"/>
        </w:rPr>
        <w:t xml:space="preserve"> project website in </w:t>
      </w:r>
      <w:hyperlink r:id="rId10" w:history="1">
        <w:r w:rsidRPr="00A216A4">
          <w:rPr>
            <w:rStyle w:val="Hypertextovprepojenie"/>
            <w:rFonts w:ascii="Avenir Next LT Pro" w:hAnsi="Avenir Next LT Pro"/>
            <w:caps/>
            <w:lang w:val="en-GB"/>
          </w:rPr>
          <w:t>Get involved</w:t>
        </w:r>
        <w:r w:rsidRPr="00CA62C4">
          <w:rPr>
            <w:rStyle w:val="Hypertextovprepojenie"/>
            <w:rFonts w:ascii="Avenir Next LT Pro" w:hAnsi="Avenir Next LT Pro"/>
            <w:lang w:val="en-GB"/>
          </w:rPr>
          <w:t xml:space="preserve"> session</w:t>
        </w:r>
      </w:hyperlink>
      <w:r>
        <w:rPr>
          <w:rFonts w:ascii="Avenir Next LT Pro" w:hAnsi="Avenir Next LT Pro"/>
          <w:lang w:val="en-GB"/>
        </w:rPr>
        <w:t xml:space="preserve">. </w:t>
      </w:r>
      <w:r w:rsidR="004A7697">
        <w:rPr>
          <w:rFonts w:ascii="Avenir Next LT Pro" w:hAnsi="Avenir Next LT Pro"/>
          <w:lang w:val="en-GB"/>
        </w:rPr>
        <w:t xml:space="preserve">  </w:t>
      </w:r>
    </w:p>
    <w:p w14:paraId="7E780442" w14:textId="2ACFA1C0" w:rsidR="007B35C7" w:rsidRDefault="007B35C7" w:rsidP="007F49CB">
      <w:pPr>
        <w:jc w:val="both"/>
        <w:rPr>
          <w:rFonts w:ascii="Avenir Next LT Pro" w:hAnsi="Avenir Next LT Pro"/>
          <w:lang w:val="en-GB"/>
        </w:rPr>
      </w:pPr>
      <w:r>
        <w:rPr>
          <w:rFonts w:ascii="Avenir Next LT Pro" w:hAnsi="Avenir Next LT Pro"/>
          <w:lang w:val="en-GB"/>
        </w:rPr>
        <w:t>______________________</w:t>
      </w:r>
    </w:p>
    <w:p w14:paraId="72A55115" w14:textId="0C811857" w:rsidR="00CA62C4" w:rsidRDefault="007B35C7" w:rsidP="007C19BE">
      <w:pPr>
        <w:jc w:val="both"/>
        <w:rPr>
          <w:rFonts w:ascii="Avenir Next LT Pro" w:hAnsi="Avenir Next LT Pro"/>
          <w:lang w:val="en-GB"/>
        </w:rPr>
      </w:pPr>
      <w:r>
        <w:rPr>
          <w:rFonts w:ascii="Avenir Next LT Pro" w:hAnsi="Avenir Next LT Pro"/>
          <w:lang w:val="en-GB"/>
        </w:rPr>
        <w:t xml:space="preserve">The </w:t>
      </w:r>
      <w:r w:rsidR="007E60A5" w:rsidRPr="00CA62C4">
        <w:rPr>
          <w:rFonts w:ascii="Avenir Next LT Pro" w:hAnsi="Avenir Next LT Pro"/>
          <w:lang w:val="en-GB"/>
        </w:rPr>
        <w:t>E</w:t>
      </w:r>
      <w:r w:rsidR="007F49CB" w:rsidRPr="00CA62C4">
        <w:rPr>
          <w:rFonts w:ascii="Avenir Next LT Pro" w:hAnsi="Avenir Next LT Pro"/>
          <w:lang w:val="en-GB"/>
        </w:rPr>
        <w:t>uropean project F2F Health Matters is an internationali</w:t>
      </w:r>
      <w:r w:rsidR="007E60A5" w:rsidRPr="00CA62C4">
        <w:rPr>
          <w:rFonts w:ascii="Avenir Next LT Pro" w:hAnsi="Avenir Next LT Pro"/>
          <w:lang w:val="en-GB"/>
        </w:rPr>
        <w:t>s</w:t>
      </w:r>
      <w:r w:rsidR="007F49CB" w:rsidRPr="00CA62C4">
        <w:rPr>
          <w:rFonts w:ascii="Avenir Next LT Pro" w:hAnsi="Avenir Next LT Pro"/>
          <w:lang w:val="en-GB"/>
        </w:rPr>
        <w:t>ation accelerator for innovative agri-food SMEs</w:t>
      </w:r>
      <w:r w:rsidR="00FE3DC1" w:rsidRPr="00CA62C4">
        <w:rPr>
          <w:rFonts w:ascii="Avenir Next LT Pro" w:hAnsi="Avenir Next LT Pro"/>
          <w:lang w:val="en-GB"/>
        </w:rPr>
        <w:t>.</w:t>
      </w:r>
      <w:r w:rsidR="00FE3DC1" w:rsidRPr="007E60A5">
        <w:rPr>
          <w:rFonts w:ascii="Avenir Next LT Pro" w:hAnsi="Avenir Next LT Pro"/>
          <w:lang w:val="en-GB"/>
        </w:rPr>
        <w:t xml:space="preserve"> It is </w:t>
      </w:r>
      <w:r w:rsidR="007F49CB" w:rsidRPr="007E60A5">
        <w:rPr>
          <w:rFonts w:ascii="Avenir Next LT Pro" w:hAnsi="Avenir Next LT Pro"/>
          <w:lang w:val="en-GB"/>
        </w:rPr>
        <w:t xml:space="preserve">driven by an alliance of five </w:t>
      </w:r>
      <w:r w:rsidR="007E60A5">
        <w:rPr>
          <w:rFonts w:ascii="Avenir Next LT Pro" w:hAnsi="Avenir Next LT Pro"/>
          <w:lang w:val="en-GB"/>
        </w:rPr>
        <w:t>E</w:t>
      </w:r>
      <w:r w:rsidR="007F49CB" w:rsidRPr="007E60A5">
        <w:rPr>
          <w:rFonts w:ascii="Avenir Next LT Pro" w:hAnsi="Avenir Next LT Pro"/>
          <w:lang w:val="en-GB"/>
        </w:rPr>
        <w:t xml:space="preserve">uropean clusters: </w:t>
      </w:r>
      <w:hyperlink r:id="rId11" w:history="1">
        <w:r w:rsidR="007F49CB" w:rsidRPr="00CA62C4">
          <w:rPr>
            <w:rStyle w:val="Hypertextovprepojenie"/>
            <w:rFonts w:ascii="Avenir Next LT Pro" w:hAnsi="Avenir Next LT Pro"/>
            <w:lang w:val="en-GB"/>
          </w:rPr>
          <w:t>Wagralim (Belgium)</w:t>
        </w:r>
      </w:hyperlink>
      <w:r w:rsidR="007F49CB" w:rsidRPr="00CA62C4">
        <w:rPr>
          <w:rFonts w:ascii="Avenir Next LT Pro" w:hAnsi="Avenir Next LT Pro"/>
          <w:lang w:val="en-GB"/>
        </w:rPr>
        <w:t xml:space="preserve">, </w:t>
      </w:r>
      <w:hyperlink r:id="rId12" w:history="1">
        <w:r w:rsidR="007F49CB" w:rsidRPr="00CA62C4">
          <w:rPr>
            <w:rStyle w:val="Hypertextovprepojenie"/>
            <w:rFonts w:ascii="Avenir Next LT Pro" w:hAnsi="Avenir Next LT Pro"/>
            <w:lang w:val="en-GB"/>
          </w:rPr>
          <w:t>Clusaga (Spain)</w:t>
        </w:r>
      </w:hyperlink>
      <w:r w:rsidR="007F49CB" w:rsidRPr="00CA62C4">
        <w:rPr>
          <w:rFonts w:ascii="Avenir Next LT Pro" w:hAnsi="Avenir Next LT Pro"/>
          <w:lang w:val="en-GB"/>
        </w:rPr>
        <w:t xml:space="preserve">, </w:t>
      </w:r>
      <w:hyperlink r:id="rId13" w:history="1">
        <w:r w:rsidR="007F49CB" w:rsidRPr="00CA62C4">
          <w:rPr>
            <w:rStyle w:val="Hypertextovprepojenie"/>
            <w:rFonts w:ascii="Avenir Next LT Pro" w:hAnsi="Avenir Next LT Pro"/>
            <w:lang w:val="en-GB"/>
          </w:rPr>
          <w:t>Bio</w:t>
        </w:r>
        <w:r w:rsidR="007E60A5" w:rsidRPr="00CA62C4">
          <w:rPr>
            <w:rStyle w:val="Hypertextovprepojenie"/>
            <w:rFonts w:ascii="Avenir Next LT Pro" w:hAnsi="Avenir Next LT Pro"/>
            <w:lang w:val="en-GB"/>
          </w:rPr>
          <w:t>e</w:t>
        </w:r>
        <w:r w:rsidR="007F49CB" w:rsidRPr="00CA62C4">
          <w:rPr>
            <w:rStyle w:val="Hypertextovprepojenie"/>
            <w:rFonts w:ascii="Avenir Next LT Pro" w:hAnsi="Avenir Next LT Pro"/>
            <w:lang w:val="en-GB"/>
          </w:rPr>
          <w:t>conomy Cluster (Slovakia)</w:t>
        </w:r>
      </w:hyperlink>
      <w:r w:rsidR="007F49CB" w:rsidRPr="00CA62C4">
        <w:rPr>
          <w:rFonts w:ascii="Avenir Next LT Pro" w:hAnsi="Avenir Next LT Pro"/>
          <w:lang w:val="en-GB"/>
        </w:rPr>
        <w:t xml:space="preserve">, </w:t>
      </w:r>
      <w:hyperlink r:id="rId14" w:history="1">
        <w:proofErr w:type="spellStart"/>
        <w:r w:rsidR="007F49CB" w:rsidRPr="00CA62C4">
          <w:rPr>
            <w:rStyle w:val="Hypertextovprepojenie"/>
            <w:rFonts w:ascii="Avenir Next LT Pro" w:hAnsi="Avenir Next LT Pro"/>
            <w:lang w:val="en-GB"/>
          </w:rPr>
          <w:t>InovCluster</w:t>
        </w:r>
        <w:proofErr w:type="spellEnd"/>
        <w:r w:rsidR="007F49CB" w:rsidRPr="00CA62C4">
          <w:rPr>
            <w:rStyle w:val="Hypertextovprepojenie"/>
            <w:rFonts w:ascii="Avenir Next LT Pro" w:hAnsi="Avenir Next LT Pro"/>
            <w:lang w:val="en-GB"/>
          </w:rPr>
          <w:t xml:space="preserve"> (Portugal)</w:t>
        </w:r>
      </w:hyperlink>
      <w:r w:rsidR="007F49CB" w:rsidRPr="00CA62C4">
        <w:rPr>
          <w:rFonts w:ascii="Avenir Next LT Pro" w:hAnsi="Avenir Next LT Pro"/>
          <w:lang w:val="en-GB"/>
        </w:rPr>
        <w:t xml:space="preserve"> and </w:t>
      </w:r>
      <w:hyperlink r:id="rId15" w:history="1">
        <w:proofErr w:type="spellStart"/>
        <w:r w:rsidR="007F49CB" w:rsidRPr="00CA62C4">
          <w:rPr>
            <w:rStyle w:val="Hypertextovprepojenie"/>
            <w:rFonts w:ascii="Avenir Next LT Pro" w:hAnsi="Avenir Next LT Pro"/>
            <w:lang w:val="en-GB"/>
          </w:rPr>
          <w:t>Valorial</w:t>
        </w:r>
        <w:proofErr w:type="spellEnd"/>
        <w:r w:rsidR="007F49CB" w:rsidRPr="00CA62C4">
          <w:rPr>
            <w:rStyle w:val="Hypertextovprepojenie"/>
            <w:rFonts w:ascii="Avenir Next LT Pro" w:hAnsi="Avenir Next LT Pro"/>
            <w:lang w:val="en-GB"/>
          </w:rPr>
          <w:t xml:space="preserve"> (France)</w:t>
        </w:r>
      </w:hyperlink>
      <w:r w:rsidR="007F49CB" w:rsidRPr="007E60A5">
        <w:rPr>
          <w:rFonts w:ascii="Avenir Next LT Pro" w:hAnsi="Avenir Next LT Pro"/>
          <w:lang w:val="en-GB"/>
        </w:rPr>
        <w:t>.</w:t>
      </w:r>
      <w:r w:rsidR="00CA62C4">
        <w:rPr>
          <w:rFonts w:ascii="Avenir Next LT Pro" w:hAnsi="Avenir Next LT Pro"/>
          <w:lang w:val="en-GB"/>
        </w:rPr>
        <w:t xml:space="preserve"> It is </w:t>
      </w:r>
      <w:r w:rsidR="007F49CB" w:rsidRPr="00CA62C4">
        <w:rPr>
          <w:rFonts w:ascii="Avenir Next LT Pro" w:hAnsi="Avenir Next LT Pro"/>
          <w:lang w:val="en-GB"/>
        </w:rPr>
        <w:t>funded by the</w:t>
      </w:r>
      <w:r w:rsidR="007F49CB" w:rsidRPr="007E60A5">
        <w:rPr>
          <w:rFonts w:ascii="Avenir Next LT Pro" w:hAnsi="Avenir Next LT Pro"/>
          <w:b/>
          <w:bCs/>
          <w:lang w:val="en-GB"/>
        </w:rPr>
        <w:t xml:space="preserve"> </w:t>
      </w:r>
      <w:hyperlink r:id="rId16" w:anchor=":~:text=COSME%20is%20the%20EU%20programme,85%25%20of%20all%20new%20jobs." w:history="1">
        <w:r w:rsidR="007F49CB" w:rsidRPr="00CA62C4">
          <w:rPr>
            <w:rStyle w:val="Hypertextovprepojenie"/>
            <w:rFonts w:ascii="Avenir Next LT Pro" w:hAnsi="Avenir Next LT Pro"/>
            <w:lang w:val="en-GB"/>
          </w:rPr>
          <w:t>European Program</w:t>
        </w:r>
        <w:r w:rsidR="003D589A" w:rsidRPr="00CA62C4">
          <w:rPr>
            <w:rStyle w:val="Hypertextovprepojenie"/>
            <w:rFonts w:ascii="Avenir Next LT Pro" w:hAnsi="Avenir Next LT Pro"/>
            <w:lang w:val="en-GB"/>
          </w:rPr>
          <w:t>me</w:t>
        </w:r>
        <w:r w:rsidR="007F49CB" w:rsidRPr="00CA62C4">
          <w:rPr>
            <w:rStyle w:val="Hypertextovprepojenie"/>
            <w:rFonts w:ascii="Avenir Next LT Pro" w:hAnsi="Avenir Next LT Pro"/>
            <w:lang w:val="en-GB"/>
          </w:rPr>
          <w:t xml:space="preserve"> for the Competitiveness of Small and Medium-sized Enterprises (COSME)</w:t>
        </w:r>
      </w:hyperlink>
      <w:r w:rsidR="007F49CB" w:rsidRPr="00CA62C4">
        <w:rPr>
          <w:rFonts w:ascii="Avenir Next LT Pro" w:hAnsi="Avenir Next LT Pro"/>
          <w:lang w:val="en-GB"/>
        </w:rPr>
        <w:t xml:space="preserve"> within the framework of the </w:t>
      </w:r>
      <w:hyperlink r:id="rId17" w:history="1">
        <w:r w:rsidR="007F49CB" w:rsidRPr="00CA62C4">
          <w:rPr>
            <w:rStyle w:val="Hypertextovprepojenie"/>
            <w:rFonts w:ascii="Avenir Next LT Pro" w:hAnsi="Avenir Next LT Pro"/>
            <w:lang w:val="en-GB"/>
          </w:rPr>
          <w:t>European Strategic Cluster Partnerships - Going International (ESCP-4i)</w:t>
        </w:r>
      </w:hyperlink>
      <w:r w:rsidR="007F49CB" w:rsidRPr="00CA62C4">
        <w:rPr>
          <w:rFonts w:ascii="Avenir Next LT Pro" w:hAnsi="Avenir Next LT Pro"/>
          <w:lang w:val="en-GB"/>
        </w:rPr>
        <w:t>.</w:t>
      </w:r>
    </w:p>
    <w:sectPr w:rsidR="00CA62C4" w:rsidSect="001134D2">
      <w:headerReference w:type="default" r:id="rId18"/>
      <w:footerReference w:type="default" r:id="rId19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07C33" w14:textId="77777777" w:rsidR="00610DE9" w:rsidRDefault="00610DE9" w:rsidP="00D349EF">
      <w:pPr>
        <w:spacing w:after="0" w:line="240" w:lineRule="auto"/>
      </w:pPr>
      <w:r>
        <w:separator/>
      </w:r>
    </w:p>
  </w:endnote>
  <w:endnote w:type="continuationSeparator" w:id="0">
    <w:p w14:paraId="237B46CF" w14:textId="77777777" w:rsidR="00610DE9" w:rsidRDefault="00610DE9" w:rsidP="00D3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DA16" w14:textId="459D872D" w:rsidR="006718DB" w:rsidRPr="00B82E54" w:rsidRDefault="00B82E54">
    <w:pPr>
      <w:pStyle w:val="Pta"/>
    </w:pPr>
    <w:r w:rsidRPr="00B82E54">
      <w:rPr>
        <w:rFonts w:ascii="Arial" w:hAnsi="Arial" w:cs="Arial"/>
        <w:noProof/>
        <w:color w:val="5B5B5B"/>
        <w:sz w:val="20"/>
        <w:szCs w:val="20"/>
        <w:shd w:val="clear" w:color="auto" w:fill="FFFFFF"/>
        <w:lang w:val="es-ES"/>
      </w:rPr>
      <w:drawing>
        <wp:anchor distT="0" distB="0" distL="114300" distR="114300" simplePos="0" relativeHeight="251659264" behindDoc="0" locked="0" layoutInCell="1" allowOverlap="1" wp14:anchorId="31DCF372" wp14:editId="6B0A07B4">
          <wp:simplePos x="0" y="0"/>
          <wp:positionH relativeFrom="margin">
            <wp:posOffset>5114290</wp:posOffset>
          </wp:positionH>
          <wp:positionV relativeFrom="paragraph">
            <wp:posOffset>-62230</wp:posOffset>
          </wp:positionV>
          <wp:extent cx="276225" cy="276225"/>
          <wp:effectExtent l="0" t="0" r="9525" b="9525"/>
          <wp:wrapNone/>
          <wp:docPr id="20" name="Imax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x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82E54">
      <w:rPr>
        <w:rFonts w:ascii="Arial" w:hAnsi="Arial" w:cs="Arial"/>
        <w:noProof/>
        <w:color w:val="5B5B5B"/>
        <w:sz w:val="20"/>
        <w:szCs w:val="20"/>
        <w:shd w:val="clear" w:color="auto" w:fill="FFFFFF"/>
        <w:lang w:val="es-ES"/>
      </w:rPr>
      <w:drawing>
        <wp:anchor distT="0" distB="0" distL="114300" distR="114300" simplePos="0" relativeHeight="251660288" behindDoc="0" locked="0" layoutInCell="1" allowOverlap="1" wp14:anchorId="7654B031" wp14:editId="42E3E0FA">
          <wp:simplePos x="0" y="0"/>
          <wp:positionH relativeFrom="column">
            <wp:posOffset>4758690</wp:posOffset>
          </wp:positionH>
          <wp:positionV relativeFrom="paragraph">
            <wp:posOffset>-57150</wp:posOffset>
          </wp:positionV>
          <wp:extent cx="285750" cy="285750"/>
          <wp:effectExtent l="0" t="0" r="0" b="0"/>
          <wp:wrapNone/>
          <wp:docPr id="21" name="Imaxe 4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xe 4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29767" w14:textId="77777777" w:rsidR="00610DE9" w:rsidRDefault="00610DE9" w:rsidP="00D349EF">
      <w:pPr>
        <w:spacing w:after="0" w:line="240" w:lineRule="auto"/>
      </w:pPr>
      <w:r>
        <w:separator/>
      </w:r>
    </w:p>
  </w:footnote>
  <w:footnote w:type="continuationSeparator" w:id="0">
    <w:p w14:paraId="75B508CE" w14:textId="77777777" w:rsidR="00610DE9" w:rsidRDefault="00610DE9" w:rsidP="00D3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B1A6" w14:textId="2A4A3682" w:rsidR="00D349EF" w:rsidRDefault="003F44C4" w:rsidP="003F44C4">
    <w:pPr>
      <w:pStyle w:val="Hlavi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4296B4" wp14:editId="316FBEC2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4112627" cy="514985"/>
          <wp:effectExtent l="0" t="0" r="2540" b="0"/>
          <wp:wrapNone/>
          <wp:docPr id="19" name="Imax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2627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03A6"/>
    <w:multiLevelType w:val="hybridMultilevel"/>
    <w:tmpl w:val="53CE7D80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93E74"/>
    <w:multiLevelType w:val="hybridMultilevel"/>
    <w:tmpl w:val="4D6EFDD4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F5"/>
    <w:rsid w:val="000439B6"/>
    <w:rsid w:val="00067EF3"/>
    <w:rsid w:val="00077A82"/>
    <w:rsid w:val="000A63E7"/>
    <w:rsid w:val="001134D2"/>
    <w:rsid w:val="001734DE"/>
    <w:rsid w:val="001B5CC1"/>
    <w:rsid w:val="001C7335"/>
    <w:rsid w:val="00237584"/>
    <w:rsid w:val="0026234E"/>
    <w:rsid w:val="002A5158"/>
    <w:rsid w:val="002C6162"/>
    <w:rsid w:val="002C7EF6"/>
    <w:rsid w:val="00375CF5"/>
    <w:rsid w:val="00390B6B"/>
    <w:rsid w:val="00394E82"/>
    <w:rsid w:val="003A3512"/>
    <w:rsid w:val="003B158F"/>
    <w:rsid w:val="003D589A"/>
    <w:rsid w:val="003F43F9"/>
    <w:rsid w:val="003F44C4"/>
    <w:rsid w:val="00424BB1"/>
    <w:rsid w:val="00426B59"/>
    <w:rsid w:val="00453A37"/>
    <w:rsid w:val="004747F1"/>
    <w:rsid w:val="00486D3E"/>
    <w:rsid w:val="004A7697"/>
    <w:rsid w:val="004B25C5"/>
    <w:rsid w:val="004E1668"/>
    <w:rsid w:val="0050151F"/>
    <w:rsid w:val="00506213"/>
    <w:rsid w:val="005139A1"/>
    <w:rsid w:val="005274DE"/>
    <w:rsid w:val="005427F1"/>
    <w:rsid w:val="00560A79"/>
    <w:rsid w:val="00584138"/>
    <w:rsid w:val="005F0C52"/>
    <w:rsid w:val="00610DE9"/>
    <w:rsid w:val="00645481"/>
    <w:rsid w:val="006456B6"/>
    <w:rsid w:val="006718DB"/>
    <w:rsid w:val="00692B80"/>
    <w:rsid w:val="006C5C15"/>
    <w:rsid w:val="006D1E67"/>
    <w:rsid w:val="00711E61"/>
    <w:rsid w:val="00714BF5"/>
    <w:rsid w:val="00763A3B"/>
    <w:rsid w:val="007B35C7"/>
    <w:rsid w:val="007C19BE"/>
    <w:rsid w:val="007E4E27"/>
    <w:rsid w:val="007E60A5"/>
    <w:rsid w:val="007F49CB"/>
    <w:rsid w:val="00814592"/>
    <w:rsid w:val="008442C5"/>
    <w:rsid w:val="00852ECC"/>
    <w:rsid w:val="00864D1F"/>
    <w:rsid w:val="008B1207"/>
    <w:rsid w:val="008B381C"/>
    <w:rsid w:val="008B6007"/>
    <w:rsid w:val="008C6826"/>
    <w:rsid w:val="008D6382"/>
    <w:rsid w:val="008E19A7"/>
    <w:rsid w:val="00905E14"/>
    <w:rsid w:val="0092705B"/>
    <w:rsid w:val="00963B2D"/>
    <w:rsid w:val="00997D7A"/>
    <w:rsid w:val="009D6ECF"/>
    <w:rsid w:val="00A12B3D"/>
    <w:rsid w:val="00A216A4"/>
    <w:rsid w:val="00A471BE"/>
    <w:rsid w:val="00AC5483"/>
    <w:rsid w:val="00AE40BD"/>
    <w:rsid w:val="00AF283B"/>
    <w:rsid w:val="00B05B13"/>
    <w:rsid w:val="00B81395"/>
    <w:rsid w:val="00B82E54"/>
    <w:rsid w:val="00BB43CF"/>
    <w:rsid w:val="00BC5D01"/>
    <w:rsid w:val="00C34425"/>
    <w:rsid w:val="00C47DDC"/>
    <w:rsid w:val="00C8158A"/>
    <w:rsid w:val="00CA62C4"/>
    <w:rsid w:val="00CE1997"/>
    <w:rsid w:val="00CF3451"/>
    <w:rsid w:val="00D21452"/>
    <w:rsid w:val="00D31A3C"/>
    <w:rsid w:val="00D349EF"/>
    <w:rsid w:val="00D76989"/>
    <w:rsid w:val="00D77E32"/>
    <w:rsid w:val="00D84C25"/>
    <w:rsid w:val="00D94CA9"/>
    <w:rsid w:val="00DC3557"/>
    <w:rsid w:val="00E0644B"/>
    <w:rsid w:val="00E56D1E"/>
    <w:rsid w:val="00E6214E"/>
    <w:rsid w:val="00E80418"/>
    <w:rsid w:val="00EF1B9C"/>
    <w:rsid w:val="00F07176"/>
    <w:rsid w:val="00F23C7B"/>
    <w:rsid w:val="00F40756"/>
    <w:rsid w:val="00F76702"/>
    <w:rsid w:val="00FE1D44"/>
    <w:rsid w:val="00FE3DC1"/>
    <w:rsid w:val="00FE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79C9"/>
  <w15:chartTrackingRefBased/>
  <w15:docId w15:val="{32D72EA2-14ED-4591-B5D3-C3BC9115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7EF6"/>
    <w:pPr>
      <w:spacing w:line="256" w:lineRule="auto"/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80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gl-E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80418"/>
    <w:rPr>
      <w:rFonts w:ascii="Courier New" w:eastAsia="Times New Roman" w:hAnsi="Courier New" w:cs="Courier New"/>
      <w:sz w:val="20"/>
      <w:szCs w:val="20"/>
      <w:lang w:eastAsia="gl-ES"/>
    </w:rPr>
  </w:style>
  <w:style w:type="character" w:customStyle="1" w:styleId="y2iqfc">
    <w:name w:val="y2iqfc"/>
    <w:basedOn w:val="Predvolenpsmoodseku"/>
    <w:rsid w:val="00E80418"/>
  </w:style>
  <w:style w:type="paragraph" w:styleId="Hlavika">
    <w:name w:val="header"/>
    <w:basedOn w:val="Normlny"/>
    <w:link w:val="HlavikaChar"/>
    <w:uiPriority w:val="99"/>
    <w:unhideWhenUsed/>
    <w:rsid w:val="00D34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49EF"/>
  </w:style>
  <w:style w:type="paragraph" w:styleId="Pta">
    <w:name w:val="footer"/>
    <w:basedOn w:val="Normlny"/>
    <w:link w:val="PtaChar"/>
    <w:uiPriority w:val="99"/>
    <w:unhideWhenUsed/>
    <w:rsid w:val="00D34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49EF"/>
  </w:style>
  <w:style w:type="character" w:styleId="Hypertextovprepojenie">
    <w:name w:val="Hyperlink"/>
    <w:basedOn w:val="Predvolenpsmoodseku"/>
    <w:uiPriority w:val="99"/>
    <w:unhideWhenUsed/>
    <w:rsid w:val="0050151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0151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7E60A5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7E60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6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60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6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60A5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C5D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2f-project.eu/" TargetMode="External"/><Relationship Id="rId13" Type="http://schemas.openxmlformats.org/officeDocument/2006/relationships/hyperlink" Target="https://bioeconomy.sk/en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lusteralimentariodegalicia.org/" TargetMode="External"/><Relationship Id="rId17" Type="http://schemas.openxmlformats.org/officeDocument/2006/relationships/hyperlink" Target="https://clustercollaboration.eu/eu-cluster-partnerships/escp-4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.europa.eu/growth/smes/cosme_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le-valorial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le-valorial.fr/" TargetMode="External"/><Relationship Id="rId10" Type="http://schemas.openxmlformats.org/officeDocument/2006/relationships/hyperlink" Target="https://f2f-project.eu/get-involved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KxV9Wz0zlRdLaD09t9qs6yqHSR3GXKi1WT6oGVJgJAKXN3Q/viewform" TargetMode="External"/><Relationship Id="rId14" Type="http://schemas.openxmlformats.org/officeDocument/2006/relationships/hyperlink" Target="https://www.inovcluster.p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png@01D8143B.CF5611E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linkedin.com/company/f2f-health-matters/" TargetMode="External"/><Relationship Id="rId6" Type="http://schemas.openxmlformats.org/officeDocument/2006/relationships/image" Target="cid:image008.png@01D8143B.CF5611E0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twitter.com/f2f_proje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CB4C1-4F05-494E-950E-8110EC1D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 de Comunicacion y Mercados</dc:creator>
  <cp:keywords/>
  <dc:description/>
  <cp:lastModifiedBy>info</cp:lastModifiedBy>
  <cp:revision>22</cp:revision>
  <dcterms:created xsi:type="dcterms:W3CDTF">2022-02-16T18:13:00Z</dcterms:created>
  <dcterms:modified xsi:type="dcterms:W3CDTF">2022-02-17T12:49:00Z</dcterms:modified>
</cp:coreProperties>
</file>